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08D15" w14:textId="77777777" w:rsidR="00532706" w:rsidRDefault="00000000">
      <w:pPr>
        <w:pStyle w:val="Heading1"/>
        <w:keepNext w:val="0"/>
        <w:keepLines w:val="0"/>
        <w:spacing w:before="0"/>
      </w:pPr>
      <w:r>
        <w:rPr>
          <w:rFonts w:ascii="Sennheiser Office" w:eastAsia="Sennheiser Office" w:hAnsi="Sennheiser Office" w:cs="Sennheiser Office"/>
          <w:noProof/>
          <w:color w:val="auto"/>
          <w:sz w:val="18"/>
          <w:szCs w:val="18"/>
        </w:rPr>
        <w:drawing>
          <wp:inline distT="0" distB="0" distL="0" distR="0" wp14:anchorId="3C0D4AF8" wp14:editId="6501E6E8">
            <wp:extent cx="4991100" cy="2486025"/>
            <wp:effectExtent l="0" t="0" r="0" b="0"/>
            <wp:docPr id="100015" name="Picture 100015" descr="Ein Bild, das Kleidung,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7"/>
                    <a:stretch>
                      <a:fillRect/>
                    </a:stretch>
                  </pic:blipFill>
                  <pic:spPr>
                    <a:xfrm>
                      <a:off x="0" y="0"/>
                      <a:ext cx="4991100" cy="2486025"/>
                    </a:xfrm>
                    <a:prstGeom prst="rect">
                      <a:avLst/>
                    </a:prstGeom>
                  </pic:spPr>
                </pic:pic>
              </a:graphicData>
            </a:graphic>
          </wp:inline>
        </w:drawing>
      </w:r>
    </w:p>
    <w:p w14:paraId="0DB16042" w14:textId="77777777" w:rsidR="00532706" w:rsidRPr="00B06939" w:rsidRDefault="00000000">
      <w:pPr>
        <w:pStyle w:val="Heading1"/>
        <w:keepNext w:val="0"/>
        <w:keepLines w:val="0"/>
        <w:spacing w:before="0"/>
        <w:rPr>
          <w:lang w:val="nl-BE"/>
        </w:rPr>
      </w:pPr>
      <w:r w:rsidRPr="00B06939">
        <w:rPr>
          <w:rFonts w:ascii="Sennheiser Office" w:eastAsia="Sennheiser Office" w:hAnsi="Sennheiser Office" w:cs="Sennheiser Office"/>
          <w:color w:val="0095D5"/>
          <w:sz w:val="18"/>
          <w:szCs w:val="18"/>
          <w:lang w:val="nl-BE"/>
        </w:rPr>
        <w:t>De Sennheiser Group op IBC 2024</w:t>
      </w:r>
    </w:p>
    <w:p w14:paraId="68C68097" w14:textId="77777777" w:rsidR="00532706" w:rsidRPr="00B06939" w:rsidRDefault="00000000">
      <w:pPr>
        <w:rPr>
          <w:lang w:val="nl-BE"/>
        </w:rPr>
      </w:pPr>
      <w:r w:rsidRPr="00B06939">
        <w:rPr>
          <w:b/>
          <w:bCs/>
          <w:lang w:val="nl-BE"/>
        </w:rPr>
        <w:t>Onthulling van Sennheiser WMAS-ecosysteem en introductie van Merging hardware-upgrades</w:t>
      </w:r>
    </w:p>
    <w:p w14:paraId="22401F09" w14:textId="77777777" w:rsidR="00532706" w:rsidRPr="00B06939" w:rsidRDefault="00532706">
      <w:pPr>
        <w:rPr>
          <w:lang w:val="nl-BE"/>
        </w:rPr>
      </w:pPr>
    </w:p>
    <w:p w14:paraId="10F3719E" w14:textId="601EF0D3" w:rsidR="00532706" w:rsidRPr="00B06939" w:rsidRDefault="00B06939">
      <w:pPr>
        <w:rPr>
          <w:lang w:val="nl-BE"/>
        </w:rPr>
      </w:pPr>
      <w:r>
        <w:rPr>
          <w:b/>
          <w:bCs/>
          <w:i/>
          <w:iCs/>
          <w:lang w:val="nl-BE"/>
        </w:rPr>
        <w:t>Brussel</w:t>
      </w:r>
      <w:r w:rsidR="00000000" w:rsidRPr="00B06939">
        <w:rPr>
          <w:b/>
          <w:bCs/>
          <w:i/>
          <w:iCs/>
          <w:lang w:val="nl-BE"/>
        </w:rPr>
        <w:t>, august</w:t>
      </w:r>
      <w:r>
        <w:rPr>
          <w:b/>
          <w:bCs/>
          <w:i/>
          <w:iCs/>
          <w:lang w:val="nl-BE"/>
        </w:rPr>
        <w:t>us</w:t>
      </w:r>
      <w:r w:rsidR="00000000" w:rsidRPr="00B06939">
        <w:rPr>
          <w:b/>
          <w:bCs/>
          <w:i/>
          <w:iCs/>
          <w:lang w:val="nl-BE"/>
        </w:rPr>
        <w:t xml:space="preserve"> 2024</w:t>
      </w:r>
      <w:r w:rsidR="00000000" w:rsidRPr="00B06939">
        <w:rPr>
          <w:b/>
          <w:bCs/>
          <w:lang w:val="nl-BE"/>
        </w:rPr>
        <w:t xml:space="preserve"> –</w:t>
      </w:r>
      <w:r w:rsidR="00000000" w:rsidRPr="00B06939">
        <w:rPr>
          <w:b/>
          <w:bCs/>
          <w:shd w:val="clear" w:color="auto" w:fill="FFFFFF"/>
          <w:lang w:val="nl-BE"/>
        </w:rPr>
        <w:t xml:space="preserve"> De Sennheiser Group verwelkomt audio- en omroepspecialisten van over de hele wereld met zijn merken Sennheiser, Neumann, Dear Reality</w:t>
      </w:r>
      <w:r w:rsidR="00000000" w:rsidRPr="00B06939">
        <w:rPr>
          <w:b/>
          <w:bCs/>
          <w:lang w:val="nl-BE"/>
        </w:rPr>
        <w:t xml:space="preserve"> </w:t>
      </w:r>
      <w:r w:rsidR="00000000" w:rsidRPr="00B06939">
        <w:rPr>
          <w:b/>
          <w:bCs/>
          <w:shd w:val="clear" w:color="auto" w:fill="FFFFFF"/>
          <w:lang w:val="nl-BE"/>
        </w:rPr>
        <w:t>en Merging Technologies en zal op IBC 2024 in Amsterdam spannende nieuwe producten en platformen introduceren. Op</w:t>
      </w:r>
      <w:r w:rsidR="00000000" w:rsidRPr="00B06939">
        <w:rPr>
          <w:b/>
          <w:bCs/>
          <w:lang w:val="nl-BE"/>
        </w:rPr>
        <w:t xml:space="preserve"> stand 8D50 in de Audio Hall valt er van de AMBEO Immersive Zone tot de WMAS Discovery Area heel wat te ontdekken.</w:t>
      </w:r>
    </w:p>
    <w:p w14:paraId="665A699A" w14:textId="77777777" w:rsidR="00532706" w:rsidRPr="00B06939" w:rsidRDefault="00532706">
      <w:pPr>
        <w:rPr>
          <w:lang w:val="nl-BE"/>
        </w:rPr>
      </w:pPr>
    </w:p>
    <w:p w14:paraId="3592236B" w14:textId="77777777" w:rsidR="00532706" w:rsidRPr="00B06939" w:rsidRDefault="00000000">
      <w:pPr>
        <w:rPr>
          <w:lang w:val="nl-BE"/>
        </w:rPr>
      </w:pPr>
      <w:r w:rsidRPr="00B06939">
        <w:rPr>
          <w:b/>
          <w:bCs/>
          <w:lang w:val="nl-BE"/>
        </w:rPr>
        <w:t>WMAS Discovery Area</w:t>
      </w:r>
    </w:p>
    <w:p w14:paraId="42659DFB" w14:textId="77777777" w:rsidR="00532706" w:rsidRPr="00B06939" w:rsidRDefault="00000000">
      <w:pPr>
        <w:rPr>
          <w:lang w:val="nl-BE"/>
        </w:rPr>
      </w:pPr>
      <w:r w:rsidRPr="00B06939">
        <w:rPr>
          <w:lang w:val="nl-BE"/>
        </w:rPr>
        <w:t>Waarschijnlijk is dit de presentatie waar dit jaar het meest naar uitgekeken werd: Sennheiser zal ‘s werelds eerste breedband, bidirectionele draadloze ecosysteem onthullen dat gebaseerd is op WMAS-technologie (</w:t>
      </w:r>
      <w:r w:rsidRPr="00B06939">
        <w:rPr>
          <w:b/>
          <w:bCs/>
          <w:lang w:val="nl-BE"/>
        </w:rPr>
        <w:t>W</w:t>
      </w:r>
      <w:r w:rsidRPr="00B06939">
        <w:rPr>
          <w:lang w:val="nl-BE"/>
        </w:rPr>
        <w:t xml:space="preserve">ireless </w:t>
      </w:r>
      <w:r w:rsidRPr="00B06939">
        <w:rPr>
          <w:b/>
          <w:bCs/>
          <w:lang w:val="nl-BE"/>
        </w:rPr>
        <w:t>M</w:t>
      </w:r>
      <w:r w:rsidRPr="00B06939">
        <w:rPr>
          <w:lang w:val="nl-BE"/>
        </w:rPr>
        <w:t xml:space="preserve">ultichannel </w:t>
      </w:r>
      <w:r w:rsidRPr="00B06939">
        <w:rPr>
          <w:b/>
          <w:bCs/>
          <w:lang w:val="nl-BE"/>
        </w:rPr>
        <w:t>A</w:t>
      </w:r>
      <w:r w:rsidRPr="00B06939">
        <w:rPr>
          <w:lang w:val="nl-BE"/>
        </w:rPr>
        <w:t xml:space="preserve">udio </w:t>
      </w:r>
      <w:r w:rsidRPr="00B06939">
        <w:rPr>
          <w:b/>
          <w:bCs/>
          <w:lang w:val="nl-BE"/>
        </w:rPr>
        <w:t>S</w:t>
      </w:r>
      <w:r w:rsidRPr="00B06939">
        <w:rPr>
          <w:lang w:val="nl-BE"/>
        </w:rPr>
        <w:t>ystems). De gasten worden uitgenodigd om de gecombineerde microfoon/IEM-bodypacks en het revolutionaire basisstation te ervaren. Intussen zullen de Sennheiser RF-specialisten met plezier alle vragen over deze baanbrekende technologie beantwoorden.</w:t>
      </w:r>
    </w:p>
    <w:p w14:paraId="4F6A856B" w14:textId="77777777" w:rsidR="00532706" w:rsidRPr="00B06939" w:rsidRDefault="00532706">
      <w:pPr>
        <w:rPr>
          <w:lang w:val="nl-BE"/>
        </w:rPr>
      </w:pPr>
    </w:p>
    <w:p w14:paraId="448D2E8A" w14:textId="77777777" w:rsidR="00532706" w:rsidRPr="00B06939" w:rsidRDefault="00000000">
      <w:pPr>
        <w:rPr>
          <w:lang w:val="nl-BE"/>
        </w:rPr>
      </w:pPr>
      <w:r w:rsidRPr="00B06939">
        <w:rPr>
          <w:b/>
          <w:bCs/>
          <w:lang w:val="nl-BE"/>
        </w:rPr>
        <w:t>Omroeppakket van Neumann en Merging</w:t>
      </w:r>
    </w:p>
    <w:p w14:paraId="773F47B6" w14:textId="77777777" w:rsidR="00532706" w:rsidRPr="00B06939" w:rsidRDefault="00000000">
      <w:pPr>
        <w:rPr>
          <w:lang w:val="nl-BE"/>
        </w:rPr>
      </w:pPr>
      <w:r w:rsidRPr="00B06939">
        <w:rPr>
          <w:lang w:val="nl-BE"/>
        </w:rPr>
        <w:t xml:space="preserve">Wanneer de bezoekers het ‘interieur’ van een typische mobiele captatiewagen binnenstappen, kunnen ze de wereld van de omroepproducten van Neumann en Merging voor audiocontrole, mixen, editing en monitoring ervaren. </w:t>
      </w:r>
      <w:r w:rsidRPr="00B06939">
        <w:rPr>
          <w:color w:val="1C1C1C"/>
          <w:lang w:val="nl-BE"/>
        </w:rPr>
        <w:t>Neumann zal DSP-gedreven KH-monitors en NDH-studiohoofdtelefoons tonen, evenals de MT 48 met de nieuwe Monitor Mission. Die tovert de unit om in een immersieve audio-interface en monitorcontroller. Merging zal zijn vermaarde Pyramix DAW-software en Anubis-interface tonen, inclusief specifieke Missions (Commentary, Monitor, Music en Venue) waarmee het toestel voor deze typische gebruiksscenario’s kan worden aangepast. Bovendien zal Merging ook aanstaande updates met extra netwerkopties onthullen.</w:t>
      </w:r>
    </w:p>
    <w:p w14:paraId="51AEFA51" w14:textId="77777777" w:rsidR="00532706" w:rsidRPr="00B06939" w:rsidRDefault="00532706">
      <w:pPr>
        <w:rPr>
          <w:lang w:val="nl-BE"/>
        </w:rPr>
      </w:pPr>
    </w:p>
    <w:tbl>
      <w:tblPr>
        <w:tblW w:w="0" w:type="auto"/>
        <w:tblCellMar>
          <w:left w:w="0" w:type="dxa"/>
          <w:right w:w="0" w:type="dxa"/>
        </w:tblCellMar>
        <w:tblLook w:val="04A0" w:firstRow="1" w:lastRow="0" w:firstColumn="1" w:lastColumn="0" w:noHBand="0" w:noVBand="1"/>
      </w:tblPr>
      <w:tblGrid>
        <w:gridCol w:w="5333"/>
        <w:gridCol w:w="2547"/>
      </w:tblGrid>
      <w:tr w:rsidR="00532706" w14:paraId="5E3273F3" w14:textId="77777777">
        <w:tc>
          <w:tcPr>
            <w:tcW w:w="3945" w:type="dxa"/>
            <w:tcMar>
              <w:top w:w="0" w:type="dxa"/>
              <w:left w:w="0" w:type="dxa"/>
              <w:bottom w:w="0" w:type="dxa"/>
              <w:right w:w="113" w:type="dxa"/>
            </w:tcMar>
            <w:hideMark/>
          </w:tcPr>
          <w:p w14:paraId="40C5D02A" w14:textId="77777777" w:rsidR="00532706" w:rsidRDefault="00000000">
            <w:pPr>
              <w:spacing w:line="210" w:lineRule="atLeast"/>
              <w:rPr>
                <w:color w:val="000000"/>
                <w:sz w:val="24"/>
                <w:szCs w:val="24"/>
              </w:rPr>
            </w:pPr>
            <w:r>
              <w:rPr>
                <w:noProof/>
                <w:color w:val="000000"/>
                <w:sz w:val="24"/>
                <w:szCs w:val="24"/>
              </w:rPr>
              <w:lastRenderedPageBreak/>
              <w:drawing>
                <wp:inline distT="0" distB="0" distL="0" distR="0" wp14:anchorId="150431D1" wp14:editId="5CF7E91A">
                  <wp:extent cx="3314700" cy="220980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a:stretch>
                            <a:fillRect/>
                          </a:stretch>
                        </pic:blipFill>
                        <pic:spPr>
                          <a:xfrm>
                            <a:off x="0" y="0"/>
                            <a:ext cx="3314700" cy="2209800"/>
                          </a:xfrm>
                          <a:prstGeom prst="rect">
                            <a:avLst/>
                          </a:prstGeom>
                        </pic:spPr>
                      </pic:pic>
                    </a:graphicData>
                  </a:graphic>
                </wp:inline>
              </w:drawing>
            </w:r>
          </w:p>
        </w:tc>
        <w:tc>
          <w:tcPr>
            <w:tcW w:w="3945" w:type="dxa"/>
            <w:tcMar>
              <w:top w:w="0" w:type="dxa"/>
              <w:left w:w="0" w:type="dxa"/>
              <w:bottom w:w="0" w:type="dxa"/>
              <w:right w:w="113" w:type="dxa"/>
            </w:tcMar>
            <w:hideMark/>
          </w:tcPr>
          <w:p w14:paraId="7FCFB3D2" w14:textId="77777777" w:rsidR="00532706" w:rsidRDefault="00000000">
            <w:pPr>
              <w:spacing w:line="210" w:lineRule="atLeast"/>
              <w:rPr>
                <w:color w:val="000000"/>
                <w:sz w:val="24"/>
                <w:szCs w:val="24"/>
              </w:rPr>
            </w:pPr>
            <w:r>
              <w:rPr>
                <w:color w:val="000000"/>
                <w:sz w:val="15"/>
                <w:szCs w:val="15"/>
              </w:rPr>
              <w:t xml:space="preserve">Op IBC zal Merging nieuwe hardware-upgrades tonen </w:t>
            </w:r>
          </w:p>
        </w:tc>
      </w:tr>
    </w:tbl>
    <w:p w14:paraId="50972A70" w14:textId="77777777" w:rsidR="00532706" w:rsidRDefault="00532706"/>
    <w:p w14:paraId="5243D983" w14:textId="77777777" w:rsidR="00532706" w:rsidRDefault="00000000">
      <w:r>
        <w:rPr>
          <w:b/>
          <w:bCs/>
        </w:rPr>
        <w:t>Sennheiser Pro Audio Workbench</w:t>
      </w:r>
    </w:p>
    <w:p w14:paraId="0FFC53BB" w14:textId="77777777" w:rsidR="00532706" w:rsidRDefault="00000000">
      <w:r>
        <w:t xml:space="preserve">Sennheiser heeft alles in huis voor de ENG- en studiotoepassingen van zijn omroepklanten: de EW-DP microfoonsystemen voor cameramontage zijn ideaal voor interviews en nieuwsverslaggeving op locatie. De Digital 6000 en EW-DX draadloze audio-oplossingen voor rackmontage zijn dan weer ideaal voor shows of andere live- of omroep-studioformats. </w:t>
      </w:r>
    </w:p>
    <w:p w14:paraId="5E24D7F1" w14:textId="77777777" w:rsidR="00532706" w:rsidRDefault="00532706"/>
    <w:p w14:paraId="467D1C6E" w14:textId="77777777" w:rsidR="00532706" w:rsidRDefault="00000000">
      <w:r>
        <w:t xml:space="preserve">Ook zal de robuuste MKH 8000 RF-condensatormicrofoonserie voor geavanceerde audio-opname getoond worden, net als Sennheisers geüpdatete omroepheadset-portfolio dat tegemoetkomt aan de behoeften van commentatoren, omroeptechnici én cameramensen. </w:t>
      </w:r>
    </w:p>
    <w:p w14:paraId="48B886AC" w14:textId="77777777" w:rsidR="00532706" w:rsidRDefault="00532706"/>
    <w:tbl>
      <w:tblPr>
        <w:tblW w:w="0" w:type="auto"/>
        <w:tblCellMar>
          <w:left w:w="0" w:type="dxa"/>
          <w:right w:w="0" w:type="dxa"/>
        </w:tblCellMar>
        <w:tblLook w:val="04A0" w:firstRow="1" w:lastRow="0" w:firstColumn="1" w:lastColumn="0" w:noHBand="0" w:noVBand="1"/>
      </w:tblPr>
      <w:tblGrid>
        <w:gridCol w:w="5183"/>
        <w:gridCol w:w="2697"/>
      </w:tblGrid>
      <w:tr w:rsidR="00532706" w14:paraId="558749C8" w14:textId="77777777">
        <w:tc>
          <w:tcPr>
            <w:tcW w:w="3945" w:type="dxa"/>
            <w:tcMar>
              <w:top w:w="0" w:type="dxa"/>
              <w:left w:w="0" w:type="dxa"/>
              <w:bottom w:w="0" w:type="dxa"/>
              <w:right w:w="113" w:type="dxa"/>
            </w:tcMar>
            <w:hideMark/>
          </w:tcPr>
          <w:p w14:paraId="6A133EBC" w14:textId="77777777" w:rsidR="00532706" w:rsidRDefault="00000000">
            <w:pPr>
              <w:spacing w:line="210" w:lineRule="atLeast"/>
              <w:rPr>
                <w:color w:val="000000"/>
                <w:sz w:val="24"/>
                <w:szCs w:val="24"/>
              </w:rPr>
            </w:pPr>
            <w:r>
              <w:rPr>
                <w:noProof/>
                <w:color w:val="000000"/>
                <w:sz w:val="24"/>
                <w:szCs w:val="24"/>
              </w:rPr>
              <w:drawing>
                <wp:inline distT="0" distB="0" distL="0" distR="0" wp14:anchorId="2DB683E8" wp14:editId="4DEF1F9E">
                  <wp:extent cx="3219450" cy="2143125"/>
                  <wp:effectExtent l="0" t="0" r="0" b="0"/>
                  <wp:docPr id="100019" name="Picture 100019" descr="Ein Bild, das Person, Schusswaffe, Waffe, Fernwaff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9"/>
                          <a:stretch>
                            <a:fillRect/>
                          </a:stretch>
                        </pic:blipFill>
                        <pic:spPr>
                          <a:xfrm>
                            <a:off x="0" y="0"/>
                            <a:ext cx="3219450" cy="2143125"/>
                          </a:xfrm>
                          <a:prstGeom prst="rect">
                            <a:avLst/>
                          </a:prstGeom>
                        </pic:spPr>
                      </pic:pic>
                    </a:graphicData>
                  </a:graphic>
                </wp:inline>
              </w:drawing>
            </w:r>
          </w:p>
        </w:tc>
        <w:tc>
          <w:tcPr>
            <w:tcW w:w="3945" w:type="dxa"/>
            <w:tcMar>
              <w:top w:w="0" w:type="dxa"/>
              <w:left w:w="0" w:type="dxa"/>
              <w:bottom w:w="0" w:type="dxa"/>
              <w:right w:w="113" w:type="dxa"/>
            </w:tcMar>
            <w:hideMark/>
          </w:tcPr>
          <w:p w14:paraId="7F5AB2B8" w14:textId="77777777" w:rsidR="00532706" w:rsidRDefault="00000000">
            <w:pPr>
              <w:spacing w:line="210" w:lineRule="atLeast"/>
              <w:rPr>
                <w:color w:val="000000"/>
                <w:sz w:val="24"/>
                <w:szCs w:val="24"/>
              </w:rPr>
            </w:pPr>
            <w:r>
              <w:rPr>
                <w:color w:val="000000"/>
                <w:sz w:val="15"/>
                <w:szCs w:val="15"/>
              </w:rPr>
              <w:t>De Sennheiser MKH 8030 en MKH 8060 RF-condensatormicrofoon in een MS stereo-opstelling</w:t>
            </w:r>
          </w:p>
        </w:tc>
      </w:tr>
    </w:tbl>
    <w:p w14:paraId="4226711F" w14:textId="77777777" w:rsidR="00532706" w:rsidRDefault="00532706"/>
    <w:p w14:paraId="57CE8894" w14:textId="77777777" w:rsidR="00532706" w:rsidRDefault="00000000">
      <w:pPr>
        <w:spacing w:after="200" w:line="276" w:lineRule="auto"/>
      </w:pPr>
      <w:r>
        <w:br w:type="page"/>
      </w:r>
    </w:p>
    <w:p w14:paraId="295A7932" w14:textId="77777777" w:rsidR="00532706" w:rsidRDefault="00000000">
      <w:r>
        <w:rPr>
          <w:b/>
          <w:bCs/>
        </w:rPr>
        <w:lastRenderedPageBreak/>
        <w:t>De AMBEO Immersive Zone</w:t>
      </w:r>
    </w:p>
    <w:p w14:paraId="0EE84E6E" w14:textId="77777777" w:rsidR="00532706" w:rsidRDefault="00000000">
      <w:r>
        <w:t xml:space="preserve">Last but not least nodigt de grote AMBEO Immersive Zone met een 5.1.4 Neumann-monitoropstelling en een Dear Reality-hoofdtelefoonstation de bezoekers uit om de onderling compatibele aanbiedingen voor ruimtelijke audio te ontdekken. </w:t>
      </w:r>
    </w:p>
    <w:p w14:paraId="01158E95" w14:textId="77777777" w:rsidR="00532706" w:rsidRDefault="00000000">
      <w:pPr>
        <w:numPr>
          <w:ilvl w:val="0"/>
          <w:numId w:val="1"/>
        </w:numPr>
        <w:tabs>
          <w:tab w:val="left" w:pos="809"/>
        </w:tabs>
        <w:ind w:left="720" w:hanging="360"/>
      </w:pPr>
      <w:r>
        <w:rPr>
          <w:b/>
          <w:bCs/>
        </w:rPr>
        <w:t>Immersieve geluidsopname</w:t>
      </w:r>
      <w:r>
        <w:rPr>
          <w:b/>
          <w:bCs/>
        </w:rPr>
        <w:br/>
      </w:r>
      <w:r>
        <w:t>Vergelijk immersief audiomateriaal dat werd opgenomen met behulp van een AMBEO Cube met MKH 800 TWIN-microfoons met de MKH 8030 in M/S-stereo en dubbele M/S-stereo, en met de AMBEO VR-microfoon</w:t>
      </w:r>
    </w:p>
    <w:p w14:paraId="330B9B95" w14:textId="77777777" w:rsidR="00532706" w:rsidRDefault="00000000">
      <w:pPr>
        <w:numPr>
          <w:ilvl w:val="0"/>
          <w:numId w:val="1"/>
        </w:numPr>
        <w:tabs>
          <w:tab w:val="left" w:pos="809"/>
        </w:tabs>
        <w:ind w:left="720" w:hanging="360"/>
      </w:pPr>
      <w:r>
        <w:rPr>
          <w:b/>
          <w:bCs/>
        </w:rPr>
        <w:t>AMBEO tweekanaals ruimtelijke audio voor live</w:t>
      </w:r>
      <w:r>
        <w:t xml:space="preserve"> </w:t>
      </w:r>
      <w:r>
        <w:br/>
        <w:t>Maak automatisch een verbeterde stereomix met deze plug-in voor de Merging Anubis</w:t>
      </w:r>
    </w:p>
    <w:p w14:paraId="5F5C7879" w14:textId="77777777" w:rsidR="00532706" w:rsidRDefault="00000000">
      <w:pPr>
        <w:numPr>
          <w:ilvl w:val="0"/>
          <w:numId w:val="1"/>
        </w:numPr>
        <w:tabs>
          <w:tab w:val="left" w:pos="809"/>
        </w:tabs>
        <w:ind w:left="720" w:hanging="360"/>
      </w:pPr>
      <w:r>
        <w:rPr>
          <w:b/>
          <w:bCs/>
        </w:rPr>
        <w:t>Stereo-audio voor film</w:t>
      </w:r>
      <w:r>
        <w:rPr>
          <w:b/>
          <w:bCs/>
        </w:rPr>
        <w:br/>
      </w:r>
      <w:r>
        <w:t>Ontdek de AMBEO tweekanaals ruimtelijke audio en vergelijk deze met standaard stereogeluid</w:t>
      </w:r>
    </w:p>
    <w:p w14:paraId="79869B06" w14:textId="77777777" w:rsidR="00532706" w:rsidRDefault="00000000">
      <w:pPr>
        <w:numPr>
          <w:ilvl w:val="0"/>
          <w:numId w:val="1"/>
        </w:numPr>
        <w:tabs>
          <w:tab w:val="left" w:pos="809"/>
        </w:tabs>
        <w:ind w:left="720" w:hanging="360"/>
      </w:pPr>
      <w:r>
        <w:rPr>
          <w:b/>
          <w:bCs/>
        </w:rPr>
        <w:t>ST 2110- en AES 67-netwerking in realtime</w:t>
      </w:r>
    </w:p>
    <w:p w14:paraId="3BF62E57" w14:textId="77777777" w:rsidR="00532706" w:rsidRDefault="00000000">
      <w:pPr>
        <w:numPr>
          <w:ilvl w:val="0"/>
          <w:numId w:val="1"/>
        </w:numPr>
        <w:tabs>
          <w:tab w:val="left" w:pos="809"/>
        </w:tabs>
        <w:ind w:left="720" w:hanging="360"/>
      </w:pPr>
      <w:r>
        <w:rPr>
          <w:b/>
          <w:bCs/>
        </w:rPr>
        <w:t>Neumann MA1-monitoruitlijning</w:t>
      </w:r>
      <w:r>
        <w:t xml:space="preserve"> </w:t>
      </w:r>
      <w:r>
        <w:br/>
      </w:r>
      <w:r>
        <w:rPr>
          <w:color w:val="151515"/>
        </w:rPr>
        <w:t>Ervaar de krachtige impact van een degelijke uitlijning van studiomonitors met de MA 1. Luister naar soundsamples en ontdek hoe een uitlijning je studioresultaten aanzienlijk kan verbeteren</w:t>
      </w:r>
      <w:r>
        <w:rPr>
          <w:color w:val="151515"/>
        </w:rPr>
        <w:br/>
      </w:r>
      <w:r>
        <w:rPr>
          <w:noProof/>
        </w:rPr>
        <w:drawing>
          <wp:inline distT="0" distB="0" distL="0" distR="0" wp14:anchorId="699CBD0C" wp14:editId="3D0D6E98">
            <wp:extent cx="4019550" cy="1857375"/>
            <wp:effectExtent l="0" t="0" r="0" b="0"/>
            <wp:docPr id="100021" name="Picture 100021" descr="Ein Bild, das Elektronik, Lautsprecher, Audiogeräte, Subwoof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0"/>
                    <a:stretch>
                      <a:fillRect/>
                    </a:stretch>
                  </pic:blipFill>
                  <pic:spPr>
                    <a:xfrm>
                      <a:off x="0" y="0"/>
                      <a:ext cx="4019550" cy="1857375"/>
                    </a:xfrm>
                    <a:prstGeom prst="rect">
                      <a:avLst/>
                    </a:prstGeom>
                  </pic:spPr>
                </pic:pic>
              </a:graphicData>
            </a:graphic>
          </wp:inline>
        </w:drawing>
      </w:r>
    </w:p>
    <w:p w14:paraId="6E5C8E81" w14:textId="77777777" w:rsidR="00532706" w:rsidRDefault="00000000">
      <w:pPr>
        <w:numPr>
          <w:ilvl w:val="0"/>
          <w:numId w:val="1"/>
        </w:numPr>
        <w:tabs>
          <w:tab w:val="left" w:pos="809"/>
        </w:tabs>
        <w:ind w:left="720" w:hanging="360"/>
      </w:pPr>
      <w:r>
        <w:rPr>
          <w:b/>
          <w:bCs/>
        </w:rPr>
        <w:t>Immersief mixen op een hoofdtelefoon</w:t>
      </w:r>
      <w:r>
        <w:rPr>
          <w:b/>
          <w:bCs/>
        </w:rPr>
        <w:br/>
      </w:r>
      <w:r>
        <w:t>Dear Reality’s speciale luisterruimte voor hoofdtelefoons geeft bezoekers de mogelijkheid om de dearVR PRO 2-spatializer voor immersieve producties te ervaren. Samen met de dearVR MONITOR plug-in kunnen gebruikers meerkanaals luidsprekerformaten tot 9.1.6 monitoren via een stereohoofdtelefoon.</w:t>
      </w:r>
    </w:p>
    <w:p w14:paraId="6FD3CEF7" w14:textId="77777777" w:rsidR="00532706" w:rsidRDefault="00532706"/>
    <w:p w14:paraId="2BB7CD59" w14:textId="77777777" w:rsidR="00532706" w:rsidRDefault="00000000">
      <w:r>
        <w:t>Om zo goed mogelijk tegemoet te komen aan de interesse van de bezoekers is er geen vast demoschema dit jaar. In plaats daarvan stimuleren we de gasten op de stand om naar de presentatie van hun keuze te vragen.</w:t>
      </w:r>
    </w:p>
    <w:p w14:paraId="454D8D4C" w14:textId="77777777" w:rsidR="00532706" w:rsidRDefault="00532706"/>
    <w:p w14:paraId="2D932A5B" w14:textId="1E09CA10" w:rsidR="00532706" w:rsidRDefault="00000000">
      <w:r>
        <w:rPr>
          <w:b/>
          <w:bCs/>
        </w:rPr>
        <w:t>Bezoek de Sennheiser Group op IBC, RAI Amsterdam, 13 tot 16 september, Hall 8, Stand D50.</w:t>
      </w:r>
    </w:p>
    <w:p w14:paraId="340A2CD2" w14:textId="77777777" w:rsidR="00B06939" w:rsidRDefault="00B06939"/>
    <w:p w14:paraId="01CCA98C" w14:textId="77777777" w:rsidR="00532706" w:rsidRDefault="00000000">
      <w:r>
        <w:t xml:space="preserve">De hogeresolutiebeelden uit dit mediabericht kunnen </w:t>
      </w:r>
      <w:hyperlink r:id="rId11" w:history="1">
        <w:r>
          <w:rPr>
            <w:color w:val="000000"/>
            <w:u w:val="single" w:color="000000"/>
          </w:rPr>
          <w:t>hier</w:t>
        </w:r>
      </w:hyperlink>
      <w:r>
        <w:t xml:space="preserve"> gedownload worden.</w:t>
      </w:r>
    </w:p>
    <w:p w14:paraId="23911416" w14:textId="77777777" w:rsidR="00532706" w:rsidRDefault="00532706">
      <w:pPr>
        <w:spacing w:line="240" w:lineRule="auto"/>
      </w:pPr>
      <w:bookmarkStart w:id="0" w:name="_Hlk44672633"/>
    </w:p>
    <w:p w14:paraId="0FBC5AA0" w14:textId="77777777" w:rsidR="00532706" w:rsidRDefault="00532706">
      <w:pPr>
        <w:spacing w:line="240" w:lineRule="auto"/>
      </w:pPr>
    </w:p>
    <w:p w14:paraId="47ED734F" w14:textId="77777777" w:rsidR="00532706" w:rsidRDefault="00000000">
      <w:pPr>
        <w:spacing w:line="240" w:lineRule="auto"/>
      </w:pPr>
      <w:r>
        <w:rPr>
          <w:b/>
          <w:bCs/>
        </w:rPr>
        <w:t>Over de Sennheiser Group</w:t>
      </w:r>
    </w:p>
    <w:p w14:paraId="7B6D669A" w14:textId="77777777" w:rsidR="00532706" w:rsidRDefault="00000000">
      <w:pPr>
        <w:spacing w:line="240" w:lineRule="auto"/>
      </w:pPr>
      <w:bookmarkStart w:id="1" w:name="_Hlk79490807"/>
      <w:r>
        <w:t>De toekomst van audio uitbouwen en unieke geluidservaringen voor onze klanten creëren – dat is de ambitie die de medewerkers van de Sennheiser Group wereldwijd verenigt. Het onafhankelijke familiebedrijf Sennheiser werd opgericht in 1945. Vandaag wordt het geleid door de derde generatie, vertegenwoordigd door Dr. Andreas Sennheiser en Daniel Sennheiser, en is het een van de leidende producenten op het vlak van professionele audiotechnologie.</w:t>
      </w:r>
    </w:p>
    <w:p w14:paraId="2F061809" w14:textId="77777777" w:rsidR="00532706" w:rsidRDefault="00000000">
      <w:hyperlink r:id="rId12" w:history="1">
        <w:r>
          <w:rPr>
            <w:color w:val="0095D5"/>
            <w:u w:val="single" w:color="0095D5"/>
          </w:rPr>
          <w:t>sennheiser.com</w:t>
        </w:r>
      </w:hyperlink>
      <w:r>
        <w:t xml:space="preserve"> | </w:t>
      </w:r>
      <w:hyperlink r:id="rId13" w:history="1">
        <w:r>
          <w:rPr>
            <w:color w:val="0095D5"/>
            <w:u w:val="single" w:color="0095D5"/>
          </w:rPr>
          <w:t>neumann.com</w:t>
        </w:r>
      </w:hyperlink>
      <w:r>
        <w:t xml:space="preserve"> | </w:t>
      </w:r>
      <w:hyperlink r:id="rId14" w:history="1">
        <w:r>
          <w:rPr>
            <w:color w:val="0095D5"/>
            <w:u w:val="single" w:color="0095D5"/>
          </w:rPr>
          <w:t>dear-reality.com</w:t>
        </w:r>
      </w:hyperlink>
      <w:r>
        <w:t xml:space="preserve"> | </w:t>
      </w:r>
      <w:hyperlink r:id="rId15" w:history="1">
        <w:r>
          <w:rPr>
            <w:color w:val="0095D5"/>
            <w:u w:val="single" w:color="0095D5"/>
          </w:rPr>
          <w:t>merging.com</w:t>
        </w:r>
      </w:hyperlink>
    </w:p>
    <w:bookmarkEnd w:id="1"/>
    <w:p w14:paraId="17D4CEF0" w14:textId="77777777" w:rsidR="00532706" w:rsidRDefault="00532706">
      <w:pPr>
        <w:spacing w:line="210" w:lineRule="atLeast"/>
        <w:rPr>
          <w:sz w:val="15"/>
          <w:szCs w:val="15"/>
        </w:rPr>
      </w:pPr>
    </w:p>
    <w:bookmarkEnd w:id="0"/>
    <w:p w14:paraId="5A139378" w14:textId="77777777" w:rsidR="00532706" w:rsidRDefault="00532706">
      <w:pPr>
        <w:spacing w:line="210" w:lineRule="atLeast"/>
        <w:rPr>
          <w:sz w:val="15"/>
          <w:szCs w:val="15"/>
        </w:rPr>
      </w:pPr>
    </w:p>
    <w:sectPr w:rsidR="00532706">
      <w:headerReference w:type="default" r:id="rId16"/>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8556" w14:textId="77777777" w:rsidR="00845B43" w:rsidRDefault="00845B43">
      <w:pPr>
        <w:spacing w:line="240" w:lineRule="auto"/>
      </w:pPr>
      <w:r>
        <w:separator/>
      </w:r>
    </w:p>
  </w:endnote>
  <w:endnote w:type="continuationSeparator" w:id="0">
    <w:p w14:paraId="61DCC498" w14:textId="77777777" w:rsidR="00845B43" w:rsidRDefault="0084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nnheiser Office">
    <w:altName w:val="Calibri"/>
    <w:panose1 w:val="020B0604020202020204"/>
    <w:charset w:val="00"/>
    <w:family w:val="swiss"/>
    <w:pitch w:val="variable"/>
    <w:sig w:usb0="A00000AF" w:usb1="500020DB"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DB7E" w14:textId="77777777" w:rsidR="00845B43" w:rsidRDefault="00845B43">
      <w:pPr>
        <w:spacing w:line="240" w:lineRule="auto"/>
      </w:pPr>
      <w:r>
        <w:separator/>
      </w:r>
    </w:p>
  </w:footnote>
  <w:footnote w:type="continuationSeparator" w:id="0">
    <w:p w14:paraId="7BF9DF9A" w14:textId="77777777" w:rsidR="00845B43" w:rsidRDefault="00845B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04E7" w14:textId="77777777" w:rsidR="00532706" w:rsidRDefault="00000000">
    <w:pPr>
      <w:spacing w:line="195" w:lineRule="atLeast"/>
      <w:jc w:val="right"/>
    </w:pPr>
    <w:r>
      <w:rPr>
        <w:noProof/>
      </w:rPr>
      <w:drawing>
        <wp:anchor distT="0" distB="0" distL="114300" distR="114300" simplePos="0" relativeHeight="251658240" behindDoc="1" locked="0" layoutInCell="1" allowOverlap="1" wp14:anchorId="63DD3DCC" wp14:editId="3998A7FB">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noProof/>
      </w:rPr>
      <w:drawing>
        <wp:anchor distT="0" distB="0" distL="114300" distR="114300" simplePos="0" relativeHeight="251659264" behindDoc="1" locked="0" layoutInCell="1" allowOverlap="1" wp14:anchorId="30711F1A" wp14:editId="7EC2F6E4">
          <wp:simplePos x="0" y="0"/>
          <wp:positionH relativeFrom="column">
            <wp:posOffset>869950</wp:posOffset>
          </wp:positionH>
          <wp:positionV relativeFrom="paragraph">
            <wp:posOffset>-88265</wp:posOffset>
          </wp:positionV>
          <wp:extent cx="9525" cy="8096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9525" cy="809625"/>
                  </a:xfrm>
                  <a:prstGeom prst="rect">
                    <a:avLst/>
                  </a:prstGeom>
                </pic:spPr>
              </pic:pic>
            </a:graphicData>
          </a:graphic>
        </wp:anchor>
      </w:drawing>
    </w:r>
    <w:r>
      <w:rPr>
        <w:noProof/>
      </w:rPr>
      <w:drawing>
        <wp:anchor distT="0" distB="0" distL="114300" distR="114300" simplePos="0" relativeHeight="251660288" behindDoc="1" locked="0" layoutInCell="1" allowOverlap="1" wp14:anchorId="18868FDA" wp14:editId="7D495DCE">
          <wp:simplePos x="0" y="0"/>
          <wp:positionH relativeFrom="column">
            <wp:posOffset>1892300</wp:posOffset>
          </wp:positionH>
          <wp:positionV relativeFrom="paragraph">
            <wp:posOffset>-88265</wp:posOffset>
          </wp:positionV>
          <wp:extent cx="38100" cy="8191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stretch>
                    <a:fillRect/>
                  </a:stretch>
                </pic:blipFill>
                <pic:spPr>
                  <a:xfrm>
                    <a:off x="0" y="0"/>
                    <a:ext cx="38100" cy="819150"/>
                  </a:xfrm>
                  <a:prstGeom prst="rect">
                    <a:avLst/>
                  </a:prstGeom>
                </pic:spPr>
              </pic:pic>
            </a:graphicData>
          </a:graphic>
        </wp:anchor>
      </w:drawing>
    </w:r>
    <w:r>
      <w:rPr>
        <w:noProof/>
      </w:rPr>
      <w:drawing>
        <wp:anchor distT="0" distB="0" distL="114300" distR="114300" simplePos="0" relativeHeight="251663360" behindDoc="1" locked="0" layoutInCell="1" allowOverlap="1" wp14:anchorId="02A0B036" wp14:editId="6994AB35">
          <wp:simplePos x="0" y="0"/>
          <wp:positionH relativeFrom="column">
            <wp:posOffset>2082800</wp:posOffset>
          </wp:positionH>
          <wp:positionV relativeFrom="paragraph">
            <wp:posOffset>-107950</wp:posOffset>
          </wp:positionV>
          <wp:extent cx="676275" cy="819150"/>
          <wp:effectExtent l="0" t="0" r="0" b="0"/>
          <wp:wrapNone/>
          <wp:docPr id="100007" name="Picture 1000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4"/>
                  <a:stretch>
                    <a:fillRect/>
                  </a:stretch>
                </pic:blipFill>
                <pic:spPr>
                  <a:xfrm>
                    <a:off x="0" y="0"/>
                    <a:ext cx="676275" cy="819150"/>
                  </a:xfrm>
                  <a:prstGeom prst="rect">
                    <a:avLst/>
                  </a:prstGeom>
                </pic:spPr>
              </pic:pic>
            </a:graphicData>
          </a:graphic>
        </wp:anchor>
      </w:drawing>
    </w:r>
    <w:r>
      <w:rPr>
        <w:noProof/>
      </w:rPr>
      <w:drawing>
        <wp:anchor distT="0" distB="0" distL="114300" distR="114300" simplePos="0" relativeHeight="251661312" behindDoc="1" locked="0" layoutInCell="1" allowOverlap="1" wp14:anchorId="0778F4D0" wp14:editId="465490E6">
          <wp:simplePos x="0" y="0"/>
          <wp:positionH relativeFrom="column">
            <wp:posOffset>2884170</wp:posOffset>
          </wp:positionH>
          <wp:positionV relativeFrom="paragraph">
            <wp:posOffset>-69215</wp:posOffset>
          </wp:positionV>
          <wp:extent cx="38100" cy="819150"/>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38100" cy="819150"/>
                  </a:xfrm>
                  <a:prstGeom prst="rect">
                    <a:avLst/>
                  </a:prstGeom>
                </pic:spPr>
              </pic:pic>
            </a:graphicData>
          </a:graphic>
        </wp:anchor>
      </w:drawing>
    </w:r>
    <w:r>
      <w:rPr>
        <w:noProof/>
      </w:rPr>
      <w:drawing>
        <wp:anchor distT="0" distB="0" distL="114300" distR="114300" simplePos="0" relativeHeight="251662336" behindDoc="1" locked="0" layoutInCell="1" allowOverlap="1" wp14:anchorId="3547B061" wp14:editId="1A465780">
          <wp:simplePos x="0" y="0"/>
          <wp:positionH relativeFrom="column">
            <wp:posOffset>1035050</wp:posOffset>
          </wp:positionH>
          <wp:positionV relativeFrom="paragraph">
            <wp:posOffset>-3810</wp:posOffset>
          </wp:positionV>
          <wp:extent cx="657225" cy="628650"/>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5"/>
                  <a:stretch>
                    <a:fillRect/>
                  </a:stretch>
                </pic:blipFill>
                <pic:spPr>
                  <a:xfrm>
                    <a:off x="0" y="0"/>
                    <a:ext cx="657225" cy="628650"/>
                  </a:xfrm>
                  <a:prstGeom prst="rect">
                    <a:avLst/>
                  </a:prstGeom>
                </pic:spPr>
              </pic:pic>
            </a:graphicData>
          </a:graphic>
        </wp:anchor>
      </w:drawing>
    </w:r>
    <w:r>
      <w:rPr>
        <w:noProof/>
      </w:rPr>
      <w:drawing>
        <wp:anchor distT="0" distB="0" distL="114300" distR="114300" simplePos="0" relativeHeight="251664384" behindDoc="1" locked="0" layoutInCell="1" allowOverlap="1" wp14:anchorId="1797904F" wp14:editId="2C87F321">
          <wp:simplePos x="0" y="0"/>
          <wp:positionH relativeFrom="column">
            <wp:posOffset>3098800</wp:posOffset>
          </wp:positionH>
          <wp:positionV relativeFrom="paragraph">
            <wp:posOffset>36449</wp:posOffset>
          </wp:positionV>
          <wp:extent cx="600075" cy="504825"/>
          <wp:effectExtent l="0" t="0" r="0" b="0"/>
          <wp:wrapNone/>
          <wp:docPr id="100013" name="Picture 1000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6"/>
                  <a:stretch>
                    <a:fillRect/>
                  </a:stretch>
                </pic:blipFill>
                <pic:spPr>
                  <a:xfrm>
                    <a:off x="0" y="0"/>
                    <a:ext cx="600075" cy="504825"/>
                  </a:xfrm>
                  <a:prstGeom prst="rect">
                    <a:avLst/>
                  </a:prstGeom>
                </pic:spPr>
              </pic:pic>
            </a:graphicData>
          </a:graphic>
        </wp:anchor>
      </w:drawing>
    </w:r>
    <w:r>
      <w:rPr>
        <w:caps/>
        <w:color w:val="0095D5"/>
        <w:spacing w:val="12"/>
        <w:sz w:val="15"/>
        <w:szCs w:val="15"/>
      </w:rPr>
      <w:t>PRESS RELEASE</w:t>
    </w:r>
  </w:p>
  <w:p w14:paraId="2B76D0EF" w14:textId="77777777" w:rsidR="00532706"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4</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4</w:t>
    </w:r>
    <w:r>
      <w:rPr>
        <w:caps/>
        <w:spacing w:val="12"/>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3DA66D70">
      <w:start w:val="1"/>
      <w:numFmt w:val="bullet"/>
      <w:lvlText w:val="►"/>
      <w:lvlJc w:val="left"/>
      <w:pPr>
        <w:ind w:left="0" w:firstLine="0"/>
      </w:pPr>
      <w:rPr>
        <w:rFonts w:ascii="Sennheiser Office" w:eastAsia="Sennheiser Office" w:hAnsi="Sennheiser Office" w:cs="Sennheiser Office"/>
        <w:sz w:val="18"/>
        <w:szCs w:val="18"/>
      </w:rPr>
    </w:lvl>
    <w:lvl w:ilvl="1" w:tplc="E9AACE30">
      <w:start w:val="1"/>
      <w:numFmt w:val="bullet"/>
      <w:lvlText w:val="o"/>
      <w:lvlJc w:val="left"/>
      <w:pPr>
        <w:tabs>
          <w:tab w:val="num" w:pos="1440"/>
        </w:tabs>
        <w:ind w:left="1440" w:hanging="360"/>
      </w:pPr>
      <w:rPr>
        <w:rFonts w:ascii="Courier New" w:hAnsi="Courier New"/>
      </w:rPr>
    </w:lvl>
    <w:lvl w:ilvl="2" w:tplc="869CAF28">
      <w:start w:val="1"/>
      <w:numFmt w:val="bullet"/>
      <w:lvlText w:val=""/>
      <w:lvlJc w:val="left"/>
      <w:pPr>
        <w:tabs>
          <w:tab w:val="num" w:pos="2160"/>
        </w:tabs>
        <w:ind w:left="2160" w:hanging="360"/>
      </w:pPr>
      <w:rPr>
        <w:rFonts w:ascii="Wingdings" w:hAnsi="Wingdings"/>
      </w:rPr>
    </w:lvl>
    <w:lvl w:ilvl="3" w:tplc="266A0B3C">
      <w:start w:val="1"/>
      <w:numFmt w:val="bullet"/>
      <w:lvlText w:val=""/>
      <w:lvlJc w:val="left"/>
      <w:pPr>
        <w:tabs>
          <w:tab w:val="num" w:pos="2880"/>
        </w:tabs>
        <w:ind w:left="2880" w:hanging="360"/>
      </w:pPr>
      <w:rPr>
        <w:rFonts w:ascii="Symbol" w:hAnsi="Symbol"/>
      </w:rPr>
    </w:lvl>
    <w:lvl w:ilvl="4" w:tplc="80AA7E4A">
      <w:start w:val="1"/>
      <w:numFmt w:val="bullet"/>
      <w:lvlText w:val="o"/>
      <w:lvlJc w:val="left"/>
      <w:pPr>
        <w:tabs>
          <w:tab w:val="num" w:pos="3600"/>
        </w:tabs>
        <w:ind w:left="3600" w:hanging="360"/>
      </w:pPr>
      <w:rPr>
        <w:rFonts w:ascii="Courier New" w:hAnsi="Courier New"/>
      </w:rPr>
    </w:lvl>
    <w:lvl w:ilvl="5" w:tplc="62DAC230">
      <w:start w:val="1"/>
      <w:numFmt w:val="bullet"/>
      <w:lvlText w:val=""/>
      <w:lvlJc w:val="left"/>
      <w:pPr>
        <w:tabs>
          <w:tab w:val="num" w:pos="4320"/>
        </w:tabs>
        <w:ind w:left="4320" w:hanging="360"/>
      </w:pPr>
      <w:rPr>
        <w:rFonts w:ascii="Wingdings" w:hAnsi="Wingdings"/>
      </w:rPr>
    </w:lvl>
    <w:lvl w:ilvl="6" w:tplc="617EAF3C">
      <w:start w:val="1"/>
      <w:numFmt w:val="bullet"/>
      <w:lvlText w:val=""/>
      <w:lvlJc w:val="left"/>
      <w:pPr>
        <w:tabs>
          <w:tab w:val="num" w:pos="5040"/>
        </w:tabs>
        <w:ind w:left="5040" w:hanging="360"/>
      </w:pPr>
      <w:rPr>
        <w:rFonts w:ascii="Symbol" w:hAnsi="Symbol"/>
      </w:rPr>
    </w:lvl>
    <w:lvl w:ilvl="7" w:tplc="38581076">
      <w:start w:val="1"/>
      <w:numFmt w:val="bullet"/>
      <w:lvlText w:val="o"/>
      <w:lvlJc w:val="left"/>
      <w:pPr>
        <w:tabs>
          <w:tab w:val="num" w:pos="5760"/>
        </w:tabs>
        <w:ind w:left="5760" w:hanging="360"/>
      </w:pPr>
      <w:rPr>
        <w:rFonts w:ascii="Courier New" w:hAnsi="Courier New"/>
      </w:rPr>
    </w:lvl>
    <w:lvl w:ilvl="8" w:tplc="E1921842">
      <w:start w:val="1"/>
      <w:numFmt w:val="bullet"/>
      <w:lvlText w:val=""/>
      <w:lvlJc w:val="left"/>
      <w:pPr>
        <w:tabs>
          <w:tab w:val="num" w:pos="6480"/>
        </w:tabs>
        <w:ind w:left="6480" w:hanging="360"/>
      </w:pPr>
      <w:rPr>
        <w:rFonts w:ascii="Wingdings" w:hAnsi="Wingdings"/>
      </w:rPr>
    </w:lvl>
  </w:abstractNum>
  <w:num w:numId="1" w16cid:durableId="183325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06"/>
    <w:rsid w:val="000A48C5"/>
    <w:rsid w:val="00532706"/>
    <w:rsid w:val="00845B43"/>
    <w:rsid w:val="00B069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2BCD0CC"/>
  <w15:docId w15:val="{08783AA6-BF52-B34F-99D9-6685B01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tect-eu.mimecast.com/s/hW3dCm2oZUjNQA8YSDwLrJ?domain=neuman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tect-eu.mimecast.com/s/lUszCgxgJHAZzmKWSo3cGI?domain=sennheis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nheiser-brandzone.com/share/AMShXSiDMmvT3p8Cz224" TargetMode="External"/><Relationship Id="rId5" Type="http://schemas.openxmlformats.org/officeDocument/2006/relationships/footnotes" Target="footnotes.xml"/><Relationship Id="rId15" Type="http://schemas.openxmlformats.org/officeDocument/2006/relationships/hyperlink" Target="https://www.merging.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ear-reality.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Amorosi</cp:lastModifiedBy>
  <cp:revision>1</cp:revision>
  <dcterms:created xsi:type="dcterms:W3CDTF">2024-08-13T07:19:00Z</dcterms:created>
  <dcterms:modified xsi:type="dcterms:W3CDTF">2024-08-13T07:19:00Z</dcterms:modified>
</cp:coreProperties>
</file>